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3FE4" w:rsidRDefault="00BF058B" w:rsidP="00BF058B">
      <w:pPr>
        <w:spacing w:after="0" w:line="480" w:lineRule="auto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  <w:bookmarkStart w:id="0" w:name="_GoBack"/>
      <w:bookmarkEnd w:id="0"/>
      <w:r>
        <w:rPr>
          <w:noProof/>
          <w:lang w:val="en-IN" w:eastAsia="en-IN"/>
        </w:rPr>
        <w:drawing>
          <wp:inline distT="0" distB="0" distL="0" distR="0" wp14:anchorId="75152C8B" wp14:editId="485AD26C">
            <wp:extent cx="5731510" cy="4232928"/>
            <wp:effectExtent l="0" t="0" r="2540" b="0"/>
            <wp:docPr id="1" name="Picture 1" descr="C:\Users\jyothi-s\Desktop\JCEO_M\received\Mexico research_JCEO\Copia de Additional Figures\Fig S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yothi-s\Desktop\JCEO_M\received\Mexico research_JCEO\Copia de Additional Figures\Fig S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32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058B" w:rsidRPr="00753FE4" w:rsidRDefault="00BF058B" w:rsidP="00753FE4">
      <w:pPr>
        <w:spacing w:after="0" w:line="360" w:lineRule="auto"/>
        <w:jc w:val="both"/>
        <w:rPr>
          <w:rFonts w:ascii="Goudy Old Style" w:hAnsi="Goudy Old Style" w:cs="Times New Roman"/>
          <w:sz w:val="18"/>
          <w:szCs w:val="18"/>
          <w:lang w:val="en-US"/>
        </w:rPr>
      </w:pPr>
      <w:r w:rsidRPr="00BF058B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753FE4">
        <w:rPr>
          <w:rFonts w:ascii="Goudy Old Style" w:hAnsi="Goudy Old Style" w:cs="Times New Roman"/>
          <w:b/>
          <w:bCs/>
          <w:sz w:val="18"/>
          <w:szCs w:val="18"/>
          <w:lang w:val="en-US"/>
        </w:rPr>
        <w:t>Figure S1</w:t>
      </w:r>
      <w:r w:rsidR="00753FE4">
        <w:rPr>
          <w:rFonts w:ascii="Goudy Old Style" w:hAnsi="Goudy Old Style" w:cs="Times New Roman"/>
          <w:sz w:val="18"/>
          <w:szCs w:val="18"/>
          <w:lang w:val="en-US"/>
        </w:rPr>
        <w:t>:</w:t>
      </w:r>
      <w:r w:rsidRPr="00753FE4">
        <w:rPr>
          <w:rFonts w:ascii="Goudy Old Style" w:hAnsi="Goudy Old Style" w:cs="Times New Roman"/>
          <w:sz w:val="18"/>
          <w:szCs w:val="18"/>
          <w:lang w:val="en-US"/>
        </w:rPr>
        <w:t xml:space="preserve"> The Spearman's rank correlation coefficient test showed that there was a moderate to st</w:t>
      </w:r>
      <w:r w:rsidR="00753FE4">
        <w:rPr>
          <w:rFonts w:ascii="Goudy Old Style" w:hAnsi="Goudy Old Style" w:cs="Times New Roman"/>
          <w:sz w:val="18"/>
          <w:szCs w:val="18"/>
          <w:lang w:val="en-US"/>
        </w:rPr>
        <w:t>rong positive correlation (rho=</w:t>
      </w:r>
      <w:r w:rsidRPr="00753FE4">
        <w:rPr>
          <w:rFonts w:ascii="Goudy Old Style" w:hAnsi="Goudy Old Style" w:cs="Times New Roman"/>
          <w:sz w:val="18"/>
          <w:szCs w:val="18"/>
          <w:lang w:val="en-US"/>
        </w:rPr>
        <w:t xml:space="preserve">0.57, p&lt;0.01) of the postoperative BCVA in </w:t>
      </w:r>
      <w:proofErr w:type="spellStart"/>
      <w:r w:rsidRPr="00753FE4">
        <w:rPr>
          <w:rFonts w:ascii="Goudy Old Style" w:hAnsi="Goudy Old Style" w:cs="Times New Roman"/>
          <w:sz w:val="18"/>
          <w:szCs w:val="18"/>
          <w:lang w:val="en-US"/>
        </w:rPr>
        <w:t>logMAR</w:t>
      </w:r>
      <w:proofErr w:type="spellEnd"/>
      <w:r w:rsidRPr="00753FE4">
        <w:rPr>
          <w:rFonts w:ascii="Goudy Old Style" w:hAnsi="Goudy Old Style" w:cs="Times New Roman"/>
          <w:sz w:val="18"/>
          <w:szCs w:val="18"/>
          <w:lang w:val="en-US"/>
        </w:rPr>
        <w:t xml:space="preserve"> units with the BCVA after ERM surgery. In addition, there was a </w:t>
      </w:r>
      <w:r w:rsidR="00753FE4">
        <w:rPr>
          <w:rFonts w:ascii="Goudy Old Style" w:hAnsi="Goudy Old Style" w:cs="Times New Roman"/>
          <w:sz w:val="18"/>
          <w:szCs w:val="18"/>
          <w:lang w:val="en-US"/>
        </w:rPr>
        <w:t>weak negative correlation (rho=</w:t>
      </w:r>
      <w:r w:rsidRPr="00753FE4">
        <w:rPr>
          <w:rFonts w:ascii="Goudy Old Style" w:hAnsi="Goudy Old Style" w:cs="Times New Roman"/>
          <w:sz w:val="18"/>
          <w:szCs w:val="18"/>
          <w:lang w:val="en-US"/>
        </w:rPr>
        <w:t xml:space="preserve"> -0.2, p&lt;0.05) between postoperative BCVA in </w:t>
      </w:r>
      <w:proofErr w:type="spellStart"/>
      <w:r w:rsidRPr="00753FE4">
        <w:rPr>
          <w:rFonts w:ascii="Goudy Old Style" w:hAnsi="Goudy Old Style" w:cs="Times New Roman"/>
          <w:sz w:val="18"/>
          <w:szCs w:val="18"/>
          <w:lang w:val="en-US"/>
        </w:rPr>
        <w:t>logMAR</w:t>
      </w:r>
      <w:proofErr w:type="spellEnd"/>
      <w:r w:rsidRPr="00753FE4">
        <w:rPr>
          <w:rFonts w:ascii="Goudy Old Style" w:hAnsi="Goudy Old Style" w:cs="Times New Roman"/>
          <w:sz w:val="18"/>
          <w:szCs w:val="18"/>
          <w:lang w:val="en-US"/>
        </w:rPr>
        <w:t xml:space="preserve"> units and follow-up period in months.</w:t>
      </w:r>
    </w:p>
    <w:p w:rsidR="0077044B" w:rsidRDefault="00BF058B" w:rsidP="00BF058B">
      <w:pPr>
        <w:spacing w:after="0" w:line="480" w:lineRule="auto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  <w:r>
        <w:rPr>
          <w:noProof/>
          <w:lang w:val="en-IN" w:eastAsia="en-IN"/>
        </w:rPr>
        <w:lastRenderedPageBreak/>
        <w:drawing>
          <wp:inline distT="0" distB="0" distL="0" distR="0" wp14:anchorId="30CA80B8" wp14:editId="63B8EB8F">
            <wp:extent cx="5731510" cy="4232928"/>
            <wp:effectExtent l="0" t="0" r="2540" b="0"/>
            <wp:docPr id="2" name="Picture 2" descr="C:\Users\jyothi-s\Desktop\JCEO_M\received\Mexico research_JCEO\Copia de Additional Figures\Fig S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yothi-s\Desktop\JCEO_M\received\Mexico research_JCEO\Copia de Additional Figures\Fig S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32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058B" w:rsidRPr="0077044B" w:rsidRDefault="00BF058B" w:rsidP="0077044B">
      <w:pPr>
        <w:spacing w:after="0" w:line="360" w:lineRule="auto"/>
        <w:rPr>
          <w:rFonts w:ascii="Goudy Old Style" w:hAnsi="Goudy Old Style" w:cs="Times New Roman"/>
          <w:sz w:val="18"/>
          <w:szCs w:val="18"/>
          <w:lang w:val="en-US"/>
        </w:rPr>
      </w:pPr>
      <w:r w:rsidRPr="0077044B">
        <w:rPr>
          <w:rFonts w:ascii="Goudy Old Style" w:hAnsi="Goudy Old Style" w:cs="Times New Roman"/>
          <w:b/>
          <w:bCs/>
          <w:sz w:val="18"/>
          <w:szCs w:val="18"/>
          <w:lang w:val="en-US"/>
        </w:rPr>
        <w:t xml:space="preserve"> Figure S2</w:t>
      </w:r>
      <w:r w:rsidR="00B24963">
        <w:rPr>
          <w:rFonts w:ascii="Goudy Old Style" w:hAnsi="Goudy Old Style" w:cs="Times New Roman"/>
          <w:sz w:val="18"/>
          <w:szCs w:val="18"/>
          <w:lang w:val="en-US"/>
        </w:rPr>
        <w:t>:</w:t>
      </w:r>
      <w:r w:rsidRPr="0077044B">
        <w:rPr>
          <w:rFonts w:ascii="Goudy Old Style" w:hAnsi="Goudy Old Style" w:cs="Times New Roman"/>
          <w:sz w:val="18"/>
          <w:szCs w:val="18"/>
          <w:lang w:val="en-US"/>
        </w:rPr>
        <w:t xml:space="preserve"> The Spearman's rank correlation coefficient test showed a </w:t>
      </w:r>
      <w:r w:rsidR="0077044B">
        <w:rPr>
          <w:rFonts w:ascii="Goudy Old Style" w:hAnsi="Goudy Old Style" w:cs="Times New Roman"/>
          <w:sz w:val="18"/>
          <w:szCs w:val="18"/>
          <w:lang w:val="en-US"/>
        </w:rPr>
        <w:t>weak positive correlation (rho=</w:t>
      </w:r>
      <w:r w:rsidRPr="0077044B">
        <w:rPr>
          <w:rFonts w:ascii="Goudy Old Style" w:hAnsi="Goudy Old Style" w:cs="Times New Roman"/>
          <w:sz w:val="18"/>
          <w:szCs w:val="18"/>
          <w:lang w:val="en-US"/>
        </w:rPr>
        <w:t xml:space="preserve">0.32, p&lt;0.05) between the preoperative period with the macula-off in weeks and the CSFT findings in microns; it also showed a </w:t>
      </w:r>
      <w:r w:rsidR="0077044B">
        <w:rPr>
          <w:rFonts w:ascii="Goudy Old Style" w:hAnsi="Goudy Old Style" w:cs="Times New Roman"/>
          <w:sz w:val="18"/>
          <w:szCs w:val="18"/>
          <w:lang w:val="en-US"/>
        </w:rPr>
        <w:t>weak negative correlation (rho=</w:t>
      </w:r>
      <w:r w:rsidRPr="0077044B">
        <w:rPr>
          <w:rFonts w:ascii="Goudy Old Style" w:hAnsi="Goudy Old Style" w:cs="Times New Roman"/>
          <w:sz w:val="18"/>
          <w:szCs w:val="18"/>
          <w:lang w:val="en-US"/>
        </w:rPr>
        <w:t xml:space="preserve">-0.29, p&lt;0.05) between the preoperative BCVA in </w:t>
      </w:r>
      <w:proofErr w:type="spellStart"/>
      <w:r w:rsidRPr="0077044B">
        <w:rPr>
          <w:rFonts w:ascii="Goudy Old Style" w:hAnsi="Goudy Old Style" w:cs="Times New Roman"/>
          <w:sz w:val="18"/>
          <w:szCs w:val="18"/>
          <w:lang w:val="en-US"/>
        </w:rPr>
        <w:t>logMAR</w:t>
      </w:r>
      <w:proofErr w:type="spellEnd"/>
      <w:r w:rsidRPr="0077044B">
        <w:rPr>
          <w:rFonts w:ascii="Goudy Old Style" w:hAnsi="Goudy Old Style" w:cs="Times New Roman"/>
          <w:sz w:val="18"/>
          <w:szCs w:val="18"/>
          <w:lang w:val="en-US"/>
        </w:rPr>
        <w:t xml:space="preserve"> units and ERM detection in weeks.</w:t>
      </w:r>
    </w:p>
    <w:p w:rsidR="00C006E6" w:rsidRDefault="00BF058B" w:rsidP="00B24963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noProof/>
          <w:lang w:val="en-IN" w:eastAsia="en-IN"/>
        </w:rPr>
        <w:drawing>
          <wp:inline distT="0" distB="0" distL="0" distR="0">
            <wp:extent cx="5731510" cy="4232928"/>
            <wp:effectExtent l="0" t="0" r="2540" b="0"/>
            <wp:docPr id="3" name="Picture 3" descr="C:\Users\jyothi-s\Desktop\JCEO_M\received\Mexico research_JCEO\Copia de Additional Figures\Fig S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jyothi-s\Desktop\JCEO_M\received\Mexico research_JCEO\Copia de Additional Figures\Fig S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32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24963">
        <w:rPr>
          <w:rFonts w:ascii="Goudy Old Style" w:hAnsi="Goudy Old Style" w:cs="Times New Roman"/>
          <w:b/>
          <w:bCs/>
          <w:sz w:val="18"/>
          <w:szCs w:val="18"/>
          <w:lang w:val="en-US"/>
        </w:rPr>
        <w:t xml:space="preserve"> </w:t>
      </w:r>
      <w:r w:rsidR="00B24963">
        <w:rPr>
          <w:rFonts w:ascii="Goudy Old Style" w:hAnsi="Goudy Old Style" w:cs="Times New Roman"/>
          <w:b/>
          <w:bCs/>
          <w:sz w:val="18"/>
          <w:szCs w:val="18"/>
          <w:lang w:val="en-US"/>
        </w:rPr>
        <w:t>Figure S3:</w:t>
      </w:r>
      <w:r w:rsidRPr="00B24963">
        <w:rPr>
          <w:rFonts w:ascii="Goudy Old Style" w:hAnsi="Goudy Old Style" w:cs="Times New Roman"/>
          <w:sz w:val="18"/>
          <w:szCs w:val="18"/>
          <w:lang w:val="en-US"/>
        </w:rPr>
        <w:t xml:space="preserve"> Postoperative BCVA was significantly negatively associated when only vitrectomy (non-peeling group) was performed in the first </w:t>
      </w:r>
      <w:r w:rsidR="00B24963">
        <w:rPr>
          <w:rFonts w:ascii="Goudy Old Style" w:hAnsi="Goudy Old Style" w:cs="Times New Roman"/>
          <w:sz w:val="18"/>
          <w:szCs w:val="18"/>
          <w:lang w:val="en-US"/>
        </w:rPr>
        <w:t>surgery variable (coefficient=</w:t>
      </w:r>
      <w:r w:rsidRPr="00B24963">
        <w:rPr>
          <w:rFonts w:ascii="Goudy Old Style" w:hAnsi="Goudy Old Style" w:cs="Times New Roman"/>
          <w:sz w:val="18"/>
          <w:szCs w:val="18"/>
          <w:lang w:val="en-US"/>
        </w:rPr>
        <w:t>-0.23, p&lt;0.01); and significantly negatively associated with the variable preoperative period of ma</w:t>
      </w:r>
      <w:r w:rsidR="00B24963">
        <w:rPr>
          <w:rFonts w:ascii="Goudy Old Style" w:hAnsi="Goudy Old Style" w:cs="Times New Roman"/>
          <w:sz w:val="18"/>
          <w:szCs w:val="18"/>
          <w:lang w:val="en-US"/>
        </w:rPr>
        <w:t>cula-off in weeks (coefficient=</w:t>
      </w:r>
      <w:r w:rsidRPr="00B24963">
        <w:rPr>
          <w:rFonts w:ascii="Goudy Old Style" w:hAnsi="Goudy Old Style" w:cs="Times New Roman"/>
          <w:sz w:val="18"/>
          <w:szCs w:val="18"/>
          <w:lang w:val="en-US"/>
        </w:rPr>
        <w:t>-0.02, p&lt;0.05) is shown.</w:t>
      </w:r>
    </w:p>
    <w:p w:rsidR="00BF058B" w:rsidRPr="007418E8" w:rsidRDefault="00BF058B" w:rsidP="007418E8">
      <w:pPr>
        <w:spacing w:after="0" w:line="360" w:lineRule="auto"/>
        <w:jc w:val="both"/>
        <w:rPr>
          <w:rFonts w:ascii="Goudy Old Style" w:hAnsi="Goudy Old Style" w:cs="Times New Roman"/>
          <w:sz w:val="18"/>
          <w:szCs w:val="18"/>
          <w:lang w:val="en-US"/>
        </w:rPr>
      </w:pPr>
      <w:r>
        <w:rPr>
          <w:noProof/>
          <w:lang w:val="en-IN" w:eastAsia="en-IN"/>
        </w:rPr>
        <w:drawing>
          <wp:inline distT="0" distB="0" distL="0" distR="0" wp14:anchorId="773782EB" wp14:editId="27A66AFB">
            <wp:extent cx="5731510" cy="4232928"/>
            <wp:effectExtent l="0" t="0" r="2540" b="0"/>
            <wp:docPr id="4" name="Picture 4" descr="C:\Users\jyothi-s\Desktop\JCEO_M\received\Mexico research_JCEO\Copia de Additional Figures\Fig S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jyothi-s\Desktop\JCEO_M\received\Mexico research_JCEO\Copia de Additional Figures\Fig S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32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18E8">
        <w:rPr>
          <w:rFonts w:ascii="Goudy Old Style" w:hAnsi="Goudy Old Style" w:cs="Times New Roman"/>
          <w:b/>
          <w:bCs/>
          <w:sz w:val="18"/>
          <w:szCs w:val="18"/>
          <w:lang w:val="en-US"/>
        </w:rPr>
        <w:t xml:space="preserve"> Figure S4</w:t>
      </w:r>
      <w:r w:rsidR="00DC2370">
        <w:rPr>
          <w:rFonts w:ascii="Goudy Old Style" w:hAnsi="Goudy Old Style" w:cs="Times New Roman"/>
          <w:sz w:val="18"/>
          <w:szCs w:val="18"/>
          <w:lang w:val="en-US"/>
        </w:rPr>
        <w:t xml:space="preserve">: </w:t>
      </w:r>
      <w:r w:rsidRPr="007418E8">
        <w:rPr>
          <w:rFonts w:ascii="Goudy Old Style" w:hAnsi="Goudy Old Style" w:cs="Times New Roman"/>
          <w:sz w:val="18"/>
          <w:szCs w:val="18"/>
          <w:lang w:val="en-US"/>
        </w:rPr>
        <w:t xml:space="preserve">The GLM for the final BCVA in log MAR units after ERM proliferation removal showed that it was significantly positively associated (p&gt;0.01) with the postoperative </w:t>
      </w:r>
    </w:p>
    <w:p w:rsidR="00BF058B" w:rsidRDefault="00BF058B" w:rsidP="00DC2370">
      <w:pPr>
        <w:spacing w:line="360" w:lineRule="auto"/>
        <w:jc w:val="both"/>
      </w:pPr>
      <w:r>
        <w:rPr>
          <w:noProof/>
          <w:lang w:val="en-IN" w:eastAsia="en-IN"/>
        </w:rPr>
        <w:drawing>
          <wp:inline distT="0" distB="0" distL="0" distR="0">
            <wp:extent cx="5731510" cy="4232928"/>
            <wp:effectExtent l="0" t="0" r="2540" b="0"/>
            <wp:docPr id="5" name="Picture 5" descr="C:\Users\jyothi-s\Desktop\JCEO_M\received\Mexico research_JCEO\Copia de Additional Figures\Fig S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jyothi-s\Desktop\JCEO_M\received\Mexico research_JCEO\Copia de Additional Figures\Fig S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32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058B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DC2370">
        <w:rPr>
          <w:rFonts w:ascii="Goudy Old Style" w:hAnsi="Goudy Old Style" w:cs="Times New Roman"/>
          <w:b/>
          <w:bCs/>
          <w:sz w:val="18"/>
          <w:szCs w:val="18"/>
          <w:lang w:val="en-US"/>
        </w:rPr>
        <w:t>Figure S5</w:t>
      </w:r>
      <w:r w:rsidR="00DC2370">
        <w:rPr>
          <w:rFonts w:ascii="Goudy Old Style" w:hAnsi="Goudy Old Style" w:cs="Times New Roman"/>
          <w:sz w:val="18"/>
          <w:szCs w:val="18"/>
          <w:lang w:val="en-US"/>
        </w:rPr>
        <w:t xml:space="preserve">: </w:t>
      </w:r>
      <w:r w:rsidRPr="00DC2370">
        <w:rPr>
          <w:rFonts w:ascii="Goudy Old Style" w:hAnsi="Goudy Old Style" w:cs="Times New Roman"/>
          <w:sz w:val="18"/>
          <w:szCs w:val="18"/>
          <w:lang w:val="en-US"/>
        </w:rPr>
        <w:t>Shows when only vitrectomy was the first surgery variable, and with the preoperative BCVA.</w:t>
      </w:r>
      <w:r w:rsidR="005A6A26">
        <w:rPr>
          <w:rFonts w:ascii="Goudy Old Style" w:hAnsi="Goudy Old Style" w:cs="Times New Roman"/>
          <w:sz w:val="18"/>
          <w:szCs w:val="18"/>
          <w:lang w:val="en-US"/>
        </w:rPr>
        <w:t xml:space="preserve"> </w:t>
      </w:r>
    </w:p>
    <w:sectPr w:rsidR="00BF058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oudy Old Style">
    <w:panose1 w:val="02020502050305020303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058B"/>
    <w:rsid w:val="005A6A26"/>
    <w:rsid w:val="00602C69"/>
    <w:rsid w:val="006A4596"/>
    <w:rsid w:val="007418E8"/>
    <w:rsid w:val="00753FE4"/>
    <w:rsid w:val="0077044B"/>
    <w:rsid w:val="00B24963"/>
    <w:rsid w:val="00BF058B"/>
    <w:rsid w:val="00C006E6"/>
    <w:rsid w:val="00C67FAB"/>
    <w:rsid w:val="00DC082E"/>
    <w:rsid w:val="00DC23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F058B"/>
    <w:pPr>
      <w:spacing w:after="160" w:line="259" w:lineRule="auto"/>
    </w:pPr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F058B"/>
    <w:pPr>
      <w:spacing w:after="0" w:line="240" w:lineRule="auto"/>
    </w:pPr>
    <w:rPr>
      <w:rFonts w:ascii="Tahoma" w:hAnsi="Tahoma" w:cs="Tahoma"/>
      <w:sz w:val="16"/>
      <w:szCs w:val="16"/>
      <w:lang w:val="en-IN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058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F058B"/>
    <w:pPr>
      <w:spacing w:after="160" w:line="259" w:lineRule="auto"/>
    </w:pPr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F058B"/>
    <w:pPr>
      <w:spacing w:after="0" w:line="240" w:lineRule="auto"/>
    </w:pPr>
    <w:rPr>
      <w:rFonts w:ascii="Tahoma" w:hAnsi="Tahoma" w:cs="Tahoma"/>
      <w:sz w:val="16"/>
      <w:szCs w:val="16"/>
      <w:lang w:val="en-IN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058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197</Words>
  <Characters>1126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JYOTHI S.</dc:creator>
  <cp:lastModifiedBy>JYOTHI S.</cp:lastModifiedBy>
  <cp:revision>14</cp:revision>
  <cp:lastPrinted>2021-10-04T12:26:00Z</cp:lastPrinted>
  <dcterms:created xsi:type="dcterms:W3CDTF">2021-10-04T12:17:00Z</dcterms:created>
  <dcterms:modified xsi:type="dcterms:W3CDTF">2021-10-04T12:26:00Z</dcterms:modified>
</cp:coreProperties>
</file>